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4FF" w:rsidRPr="0036199C" w:rsidRDefault="0036199C" w:rsidP="0036199C">
      <w:pPr>
        <w:jc w:val="center"/>
        <w:rPr>
          <w:b/>
          <w:sz w:val="32"/>
        </w:rPr>
      </w:pPr>
      <w:r w:rsidRPr="0036199C">
        <w:rPr>
          <w:b/>
          <w:sz w:val="32"/>
        </w:rPr>
        <w:t>EDU_Westfalen Erdkunde</w:t>
      </w:r>
    </w:p>
    <w:p w:rsidR="0036199C" w:rsidRDefault="0036199C"/>
    <w:p w:rsidR="0036199C" w:rsidRDefault="0036199C"/>
    <w:p w:rsidR="0036199C" w:rsidRDefault="0036199C">
      <w:r>
        <w:t xml:space="preserve">Themenfeld: </w:t>
      </w:r>
      <w:r w:rsidR="00343E8C">
        <w:t>01_Unterschiedlich strukturierte Siedlungen</w:t>
      </w:r>
    </w:p>
    <w:p w:rsidR="0036199C" w:rsidRDefault="0036199C"/>
    <w:p w:rsidR="0036199C" w:rsidRDefault="0036199C">
      <w:r>
        <w:t xml:space="preserve">Materialsammlung: </w:t>
      </w:r>
      <w:r w:rsidR="00343E8C">
        <w:t>0102_Daseinsgrundfunktionen</w:t>
      </w:r>
    </w:p>
    <w:p w:rsidR="0036199C" w:rsidRDefault="0036199C"/>
    <w:p w:rsidR="0036199C" w:rsidRDefault="0036199C"/>
    <w:p w:rsidR="0036199C" w:rsidRDefault="0036199C"/>
    <w:sdt>
      <w:sdtPr>
        <w:rPr>
          <w:rFonts w:ascii="Segoe UI" w:eastAsiaTheme="minorHAnsi" w:hAnsi="Segoe UI" w:cstheme="minorBidi"/>
          <w:color w:val="auto"/>
          <w:sz w:val="20"/>
          <w:szCs w:val="22"/>
          <w:lang w:eastAsia="en-US"/>
        </w:rPr>
        <w:id w:val="-1871915969"/>
        <w:docPartObj>
          <w:docPartGallery w:val="Table of Contents"/>
          <w:docPartUnique/>
        </w:docPartObj>
      </w:sdtPr>
      <w:sdtEndPr>
        <w:rPr>
          <w:b/>
          <w:bCs/>
        </w:rPr>
      </w:sdtEndPr>
      <w:sdtContent>
        <w:p w:rsidR="00343E8C" w:rsidRDefault="00343E8C">
          <w:pPr>
            <w:pStyle w:val="Inhaltsverzeichnisberschrift"/>
          </w:pPr>
          <w:r>
            <w:t>Inhalt</w:t>
          </w:r>
        </w:p>
        <w:p w:rsidR="00343E8C" w:rsidRDefault="00343E8C">
          <w:pPr>
            <w:pStyle w:val="Verzeichnis1"/>
            <w:tabs>
              <w:tab w:val="right" w:leader="dot" w:pos="9062"/>
            </w:tabs>
            <w:rPr>
              <w:noProof/>
            </w:rPr>
          </w:pPr>
          <w:r>
            <w:fldChar w:fldCharType="begin"/>
          </w:r>
          <w:r>
            <w:instrText xml:space="preserve"> TOC \o "1-3" \h \z \u </w:instrText>
          </w:r>
          <w:r>
            <w:fldChar w:fldCharType="separate"/>
          </w:r>
          <w:hyperlink w:anchor="_Toc182817210" w:history="1">
            <w:r w:rsidRPr="001F41E4">
              <w:rPr>
                <w:rStyle w:val="Hyperlink"/>
                <w:noProof/>
              </w:rPr>
              <w:t>Fotos zu DGF Bochum (2024)</w:t>
            </w:r>
            <w:r>
              <w:rPr>
                <w:noProof/>
                <w:webHidden/>
              </w:rPr>
              <w:tab/>
            </w:r>
            <w:r>
              <w:rPr>
                <w:noProof/>
                <w:webHidden/>
              </w:rPr>
              <w:fldChar w:fldCharType="begin"/>
            </w:r>
            <w:r>
              <w:rPr>
                <w:noProof/>
                <w:webHidden/>
              </w:rPr>
              <w:instrText xml:space="preserve"> PAGEREF _Toc182817210 \h </w:instrText>
            </w:r>
            <w:r>
              <w:rPr>
                <w:noProof/>
                <w:webHidden/>
              </w:rPr>
            </w:r>
            <w:r>
              <w:rPr>
                <w:noProof/>
                <w:webHidden/>
              </w:rPr>
              <w:fldChar w:fldCharType="separate"/>
            </w:r>
            <w:r>
              <w:rPr>
                <w:noProof/>
                <w:webHidden/>
              </w:rPr>
              <w:t>2</w:t>
            </w:r>
            <w:r>
              <w:rPr>
                <w:noProof/>
                <w:webHidden/>
              </w:rPr>
              <w:fldChar w:fldCharType="end"/>
            </w:r>
          </w:hyperlink>
        </w:p>
        <w:p w:rsidR="00343E8C" w:rsidRDefault="00343E8C">
          <w:r>
            <w:rPr>
              <w:b/>
              <w:bCs/>
            </w:rPr>
            <w:fldChar w:fldCharType="end"/>
          </w:r>
        </w:p>
      </w:sdtContent>
    </w:sdt>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 w:rsidR="0036199C" w:rsidRDefault="0036199C">
      <w:pPr>
        <w:sectPr w:rsidR="0036199C" w:rsidSect="00F954FF">
          <w:pgSz w:w="11906" w:h="16838"/>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2547"/>
        <w:gridCol w:w="6515"/>
      </w:tblGrid>
      <w:tr w:rsidR="0036199C" w:rsidTr="00D37310">
        <w:tc>
          <w:tcPr>
            <w:tcW w:w="2547" w:type="dxa"/>
            <w:shd w:val="clear" w:color="auto" w:fill="4F6228" w:themeFill="accent3" w:themeFillShade="80"/>
          </w:tcPr>
          <w:p w:rsidR="0036199C" w:rsidRPr="00684CDD" w:rsidRDefault="0036199C" w:rsidP="00D37310">
            <w:pPr>
              <w:rPr>
                <w:b/>
              </w:rPr>
            </w:pPr>
            <w:r>
              <w:rPr>
                <w:b/>
                <w:color w:val="FFFFFF" w:themeColor="background1"/>
              </w:rPr>
              <w:lastRenderedPageBreak/>
              <w:t>Titel</w:t>
            </w:r>
          </w:p>
        </w:tc>
        <w:tc>
          <w:tcPr>
            <w:tcW w:w="6515" w:type="dxa"/>
            <w:shd w:val="clear" w:color="auto" w:fill="4F6228" w:themeFill="accent3" w:themeFillShade="80"/>
          </w:tcPr>
          <w:p w:rsidR="0036199C" w:rsidRPr="00537D73" w:rsidRDefault="00343E8C" w:rsidP="00D37310">
            <w:pPr>
              <w:pStyle w:val="berschrift1"/>
            </w:pPr>
            <w:bookmarkStart w:id="0" w:name="_Toc182817210"/>
            <w:r>
              <w:t>Fotos zu DGF Bochum (2024)</w:t>
            </w:r>
            <w:bookmarkEnd w:id="0"/>
          </w:p>
        </w:tc>
      </w:tr>
      <w:tr w:rsidR="0036199C" w:rsidTr="00D37310">
        <w:tc>
          <w:tcPr>
            <w:tcW w:w="2547" w:type="dxa"/>
            <w:shd w:val="clear" w:color="auto" w:fill="EAF1DD" w:themeFill="accent3" w:themeFillTint="33"/>
          </w:tcPr>
          <w:p w:rsidR="0036199C" w:rsidRPr="00571059" w:rsidRDefault="0036199C" w:rsidP="00D37310">
            <w:pPr>
              <w:rPr>
                <w:b/>
              </w:rPr>
            </w:pPr>
            <w:r w:rsidRPr="00571059">
              <w:rPr>
                <w:b/>
              </w:rPr>
              <w:t>Quelle/Material</w:t>
            </w:r>
          </w:p>
        </w:tc>
        <w:tc>
          <w:tcPr>
            <w:tcW w:w="6515" w:type="dxa"/>
          </w:tcPr>
          <w:p w:rsidR="0036199C" w:rsidRDefault="00343E8C" w:rsidP="00D37310">
            <w:pPr>
              <w:rPr>
                <w:szCs w:val="20"/>
              </w:rPr>
            </w:pPr>
            <w:r>
              <w:rPr>
                <w:noProof/>
                <w:szCs w:val="20"/>
                <w:lang w:eastAsia="de-DE"/>
              </w:rPr>
              <w:drawing>
                <wp:inline distT="0" distB="0" distL="0" distR="0" wp14:anchorId="72A44E51" wp14:editId="245D5E82">
                  <wp:extent cx="2493517" cy="1400175"/>
                  <wp:effectExtent l="0" t="0" r="2540" b="0"/>
                  <wp:docPr id="2583851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1508" cy="1415893"/>
                          </a:xfrm>
                          <a:prstGeom prst="rect">
                            <a:avLst/>
                          </a:prstGeom>
                          <a:noFill/>
                          <a:ln>
                            <a:noFill/>
                          </a:ln>
                        </pic:spPr>
                      </pic:pic>
                    </a:graphicData>
                  </a:graphic>
                </wp:inline>
              </w:drawing>
            </w:r>
          </w:p>
          <w:p w:rsidR="00343E8C" w:rsidRDefault="00343E8C" w:rsidP="00D37310">
            <w:pPr>
              <w:rPr>
                <w:szCs w:val="20"/>
              </w:rPr>
            </w:pPr>
          </w:p>
          <w:p w:rsidR="0036199C" w:rsidRDefault="00343E8C" w:rsidP="00D37310">
            <w:pPr>
              <w:rPr>
                <w:szCs w:val="20"/>
              </w:rPr>
            </w:pPr>
            <w:r>
              <w:rPr>
                <w:noProof/>
                <w:szCs w:val="20"/>
                <w:lang w:eastAsia="de-DE"/>
              </w:rPr>
              <w:drawing>
                <wp:inline distT="0" distB="0" distL="0" distR="0" wp14:anchorId="2316643C" wp14:editId="2D1026C4">
                  <wp:extent cx="2505075" cy="1406197"/>
                  <wp:effectExtent l="0" t="0" r="0" b="3810"/>
                  <wp:docPr id="9456795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6421" cy="1423793"/>
                          </a:xfrm>
                          <a:prstGeom prst="rect">
                            <a:avLst/>
                          </a:prstGeom>
                          <a:noFill/>
                          <a:ln>
                            <a:noFill/>
                          </a:ln>
                        </pic:spPr>
                      </pic:pic>
                    </a:graphicData>
                  </a:graphic>
                </wp:inline>
              </w:drawing>
            </w:r>
          </w:p>
          <w:p w:rsidR="00343E8C" w:rsidRDefault="00343E8C" w:rsidP="00D37310">
            <w:pPr>
              <w:rPr>
                <w:szCs w:val="20"/>
              </w:rPr>
            </w:pPr>
          </w:p>
          <w:p w:rsidR="00343E8C" w:rsidRDefault="00343E8C" w:rsidP="00D37310">
            <w:pPr>
              <w:rPr>
                <w:szCs w:val="20"/>
              </w:rPr>
            </w:pPr>
            <w:r>
              <w:rPr>
                <w:noProof/>
                <w:szCs w:val="20"/>
                <w:lang w:eastAsia="de-DE"/>
              </w:rPr>
              <w:drawing>
                <wp:inline distT="0" distB="0" distL="0" distR="0" wp14:anchorId="1E8E109B" wp14:editId="4B1FD4C9">
                  <wp:extent cx="2476554" cy="1390650"/>
                  <wp:effectExtent l="0" t="0" r="0" b="0"/>
                  <wp:docPr id="10185170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528" cy="1396251"/>
                          </a:xfrm>
                          <a:prstGeom prst="rect">
                            <a:avLst/>
                          </a:prstGeom>
                          <a:noFill/>
                          <a:ln>
                            <a:noFill/>
                          </a:ln>
                        </pic:spPr>
                      </pic:pic>
                    </a:graphicData>
                  </a:graphic>
                </wp:inline>
              </w:drawing>
            </w:r>
          </w:p>
          <w:p w:rsidR="00343E8C" w:rsidRDefault="00343E8C" w:rsidP="00D37310">
            <w:pPr>
              <w:rPr>
                <w:szCs w:val="20"/>
              </w:rPr>
            </w:pPr>
          </w:p>
          <w:p w:rsidR="00343E8C" w:rsidRDefault="00343E8C" w:rsidP="00D37310">
            <w:pPr>
              <w:rPr>
                <w:szCs w:val="20"/>
              </w:rPr>
            </w:pPr>
            <w:r>
              <w:rPr>
                <w:rFonts w:eastAsia="Times New Roman" w:cs="Segoe UI"/>
                <w:noProof/>
                <w:szCs w:val="20"/>
                <w:lang w:eastAsia="de-DE"/>
              </w:rPr>
              <w:drawing>
                <wp:inline distT="0" distB="0" distL="0" distR="0" wp14:anchorId="674026C6" wp14:editId="231C6514">
                  <wp:extent cx="2457450" cy="1379923"/>
                  <wp:effectExtent l="0" t="0" r="0" b="0"/>
                  <wp:docPr id="13617687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2113" cy="1393772"/>
                          </a:xfrm>
                          <a:prstGeom prst="rect">
                            <a:avLst/>
                          </a:prstGeom>
                          <a:noFill/>
                          <a:ln>
                            <a:noFill/>
                          </a:ln>
                        </pic:spPr>
                      </pic:pic>
                    </a:graphicData>
                  </a:graphic>
                </wp:inline>
              </w:drawing>
            </w:r>
          </w:p>
          <w:p w:rsidR="00343E8C" w:rsidRDefault="00343E8C" w:rsidP="00D37310">
            <w:pPr>
              <w:rPr>
                <w:szCs w:val="20"/>
              </w:rPr>
            </w:pPr>
          </w:p>
          <w:p w:rsidR="00343E8C" w:rsidRDefault="00343E8C" w:rsidP="00D37310">
            <w:pPr>
              <w:rPr>
                <w:szCs w:val="20"/>
              </w:rPr>
            </w:pPr>
            <w:r>
              <w:rPr>
                <w:noProof/>
                <w:szCs w:val="20"/>
                <w:lang w:eastAsia="de-DE"/>
              </w:rPr>
              <w:drawing>
                <wp:inline distT="0" distB="0" distL="0" distR="0" wp14:anchorId="68682549" wp14:editId="7E6B4BC4">
                  <wp:extent cx="2493517" cy="1400175"/>
                  <wp:effectExtent l="0" t="0" r="2540" b="0"/>
                  <wp:docPr id="18885716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9387" cy="1409087"/>
                          </a:xfrm>
                          <a:prstGeom prst="rect">
                            <a:avLst/>
                          </a:prstGeom>
                          <a:noFill/>
                          <a:ln>
                            <a:noFill/>
                          </a:ln>
                        </pic:spPr>
                      </pic:pic>
                    </a:graphicData>
                  </a:graphic>
                </wp:inline>
              </w:drawing>
            </w:r>
          </w:p>
          <w:p w:rsidR="00343E8C" w:rsidRDefault="00343E8C" w:rsidP="00D37310">
            <w:pPr>
              <w:rPr>
                <w:szCs w:val="20"/>
              </w:rPr>
            </w:pPr>
          </w:p>
          <w:p w:rsidR="00343E8C" w:rsidRPr="006965D6" w:rsidRDefault="00343E8C" w:rsidP="00D37310">
            <w:pPr>
              <w:rPr>
                <w:szCs w:val="20"/>
              </w:rPr>
            </w:pPr>
            <w:r>
              <w:rPr>
                <w:noProof/>
                <w:szCs w:val="20"/>
                <w:lang w:eastAsia="de-DE"/>
              </w:rPr>
              <w:lastRenderedPageBreak/>
              <w:drawing>
                <wp:inline distT="0" distB="0" distL="0" distR="0" wp14:anchorId="23C4C0C0" wp14:editId="4E235061">
                  <wp:extent cx="2561367" cy="1438275"/>
                  <wp:effectExtent l="0" t="0" r="0" b="0"/>
                  <wp:docPr id="27470838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3174" cy="1444905"/>
                          </a:xfrm>
                          <a:prstGeom prst="rect">
                            <a:avLst/>
                          </a:prstGeom>
                          <a:noFill/>
                          <a:ln>
                            <a:noFill/>
                          </a:ln>
                        </pic:spPr>
                      </pic:pic>
                    </a:graphicData>
                  </a:graphic>
                </wp:inline>
              </w:drawing>
            </w:r>
          </w:p>
        </w:tc>
      </w:tr>
      <w:tr w:rsidR="0036199C" w:rsidTr="00D37310">
        <w:tc>
          <w:tcPr>
            <w:tcW w:w="2547" w:type="dxa"/>
            <w:shd w:val="clear" w:color="auto" w:fill="EAF1DD" w:themeFill="accent3" w:themeFillTint="33"/>
          </w:tcPr>
          <w:p w:rsidR="0036199C" w:rsidRPr="00571059" w:rsidRDefault="0036199C" w:rsidP="00D37310">
            <w:pPr>
              <w:rPr>
                <w:b/>
              </w:rPr>
            </w:pPr>
            <w:r>
              <w:rPr>
                <w:b/>
              </w:rPr>
              <w:lastRenderedPageBreak/>
              <w:t>Beschreibung der Materialsammlung</w:t>
            </w:r>
          </w:p>
          <w:p w:rsidR="0036199C" w:rsidRDefault="0036199C" w:rsidP="00D37310"/>
          <w:p w:rsidR="0036199C" w:rsidRPr="00684CDD" w:rsidRDefault="0036199C" w:rsidP="00D37310">
            <w:pPr>
              <w:rPr>
                <w:i/>
              </w:rPr>
            </w:pPr>
          </w:p>
        </w:tc>
        <w:tc>
          <w:tcPr>
            <w:tcW w:w="6515" w:type="dxa"/>
          </w:tcPr>
          <w:p w:rsidR="00343E8C" w:rsidRDefault="00343E8C" w:rsidP="00343E8C">
            <w:pPr>
              <w:rPr>
                <w:rFonts w:eastAsia="Times New Roman" w:cs="Segoe UI"/>
                <w:szCs w:val="20"/>
                <w:lang w:eastAsia="de-DE"/>
              </w:rPr>
            </w:pPr>
            <w:r>
              <w:rPr>
                <w:rFonts w:eastAsia="Times New Roman" w:cs="Segoe UI"/>
                <w:szCs w:val="20"/>
                <w:lang w:eastAsia="de-DE"/>
              </w:rPr>
              <w:t xml:space="preserve">Die Daseinsgrundfunktionen (DGF) beschreiben in der Geographie die Bedürfnisse eines jeden Menschen, die an einen Lebensraum zur Erfüllung dieser Bedürfnisse gestellt werden. Die DGF sind dabei für alle Menschen gleich und können synonym mit „Grundbedürfnissen“ eines Menschen verwendet werden. </w:t>
            </w:r>
          </w:p>
          <w:p w:rsidR="00343E8C" w:rsidRPr="00695441" w:rsidRDefault="00343E8C" w:rsidP="00343E8C">
            <w:pPr>
              <w:pStyle w:val="Listenabsatz"/>
              <w:numPr>
                <w:ilvl w:val="0"/>
                <w:numId w:val="1"/>
              </w:numPr>
              <w:ind w:left="714" w:hanging="357"/>
              <w:contextualSpacing w:val="0"/>
              <w:rPr>
                <w:rFonts w:ascii="Segoe UI" w:eastAsia="Times New Roman" w:hAnsi="Segoe UI" w:cs="Segoe UI"/>
                <w:sz w:val="20"/>
                <w:szCs w:val="20"/>
                <w:lang w:eastAsia="de-DE"/>
              </w:rPr>
            </w:pPr>
            <w:r w:rsidRPr="00695441">
              <w:rPr>
                <w:rFonts w:ascii="Segoe UI" w:eastAsia="Times New Roman" w:hAnsi="Segoe UI" w:cs="Segoe UI"/>
                <w:sz w:val="20"/>
                <w:szCs w:val="20"/>
                <w:lang w:eastAsia="de-DE"/>
              </w:rPr>
              <w:t>Wohnen (und in Gemeinschaft leben): Bezieht sich auf die räumliche Verteilung der Wohninfrastruktur in Form von Siedlungen und Wohngebieten.</w:t>
            </w:r>
          </w:p>
          <w:p w:rsidR="00343E8C" w:rsidRPr="00695441" w:rsidRDefault="00343E8C" w:rsidP="00343E8C">
            <w:pPr>
              <w:pStyle w:val="Listenabsatz"/>
              <w:numPr>
                <w:ilvl w:val="0"/>
                <w:numId w:val="1"/>
              </w:numPr>
              <w:spacing w:before="100" w:beforeAutospacing="1" w:after="100" w:afterAutospacing="1"/>
              <w:rPr>
                <w:rFonts w:ascii="Segoe UI" w:eastAsia="Times New Roman" w:hAnsi="Segoe UI" w:cs="Segoe UI"/>
                <w:sz w:val="20"/>
                <w:szCs w:val="20"/>
                <w:lang w:eastAsia="de-DE"/>
              </w:rPr>
            </w:pPr>
            <w:r w:rsidRPr="00695441">
              <w:rPr>
                <w:rFonts w:ascii="Segoe UI" w:eastAsia="Times New Roman" w:hAnsi="Segoe UI" w:cs="Segoe UI"/>
                <w:sz w:val="20"/>
                <w:szCs w:val="20"/>
                <w:lang w:eastAsia="de-DE"/>
              </w:rPr>
              <w:t>Arbeiten: Bezieht sich auf die räumliche Verteilung von Arbeitsplätzen sowie die Standortwahl von Unternehmen, Industrie- und Gewerbegebieten.</w:t>
            </w:r>
          </w:p>
          <w:p w:rsidR="00343E8C" w:rsidRPr="00695441" w:rsidRDefault="00343E8C" w:rsidP="00343E8C">
            <w:pPr>
              <w:pStyle w:val="Listenabsatz"/>
              <w:numPr>
                <w:ilvl w:val="0"/>
                <w:numId w:val="1"/>
              </w:numPr>
              <w:spacing w:before="100" w:beforeAutospacing="1" w:after="100" w:afterAutospacing="1"/>
              <w:rPr>
                <w:rFonts w:ascii="Segoe UI" w:eastAsia="Times New Roman" w:hAnsi="Segoe UI" w:cs="Segoe UI"/>
                <w:sz w:val="20"/>
                <w:szCs w:val="20"/>
                <w:lang w:eastAsia="de-DE"/>
              </w:rPr>
            </w:pPr>
            <w:r w:rsidRPr="00695441">
              <w:rPr>
                <w:rFonts w:ascii="Segoe UI" w:eastAsia="Times New Roman" w:hAnsi="Segoe UI" w:cs="Segoe UI"/>
                <w:sz w:val="20"/>
                <w:szCs w:val="20"/>
                <w:lang w:eastAsia="de-DE"/>
              </w:rPr>
              <w:t>Sich versorgen: Bezieht sich auf die räumliche Verfügbarkeit von Gütern/ Produkten und Dienstleistungen, die für das alltägliche Leben benötigt werden.</w:t>
            </w:r>
          </w:p>
          <w:p w:rsidR="00343E8C" w:rsidRPr="00695441" w:rsidRDefault="00343E8C" w:rsidP="00343E8C">
            <w:pPr>
              <w:pStyle w:val="Listenabsatz"/>
              <w:numPr>
                <w:ilvl w:val="0"/>
                <w:numId w:val="1"/>
              </w:numPr>
              <w:spacing w:before="100" w:beforeAutospacing="1" w:after="100" w:afterAutospacing="1"/>
              <w:rPr>
                <w:rFonts w:ascii="Segoe UI" w:eastAsia="Times New Roman" w:hAnsi="Segoe UI" w:cs="Segoe UI"/>
                <w:sz w:val="20"/>
                <w:szCs w:val="20"/>
                <w:lang w:eastAsia="de-DE"/>
              </w:rPr>
            </w:pPr>
            <w:r w:rsidRPr="00695441">
              <w:rPr>
                <w:rFonts w:ascii="Segoe UI" w:eastAsia="Times New Roman" w:hAnsi="Segoe UI" w:cs="Segoe UI"/>
                <w:sz w:val="20"/>
                <w:szCs w:val="20"/>
                <w:lang w:eastAsia="de-DE"/>
              </w:rPr>
              <w:t>Sich Erholen: Umfasst sämtliche Erholungs- und Freizeitaktivitäten eines Raumes z. B. Parks/Grünanlagen, Sportanlagen, Tourismusangebote.</w:t>
            </w:r>
          </w:p>
          <w:p w:rsidR="00343E8C" w:rsidRPr="00695441" w:rsidRDefault="00343E8C" w:rsidP="00343E8C">
            <w:pPr>
              <w:pStyle w:val="Listenabsatz"/>
              <w:numPr>
                <w:ilvl w:val="0"/>
                <w:numId w:val="1"/>
              </w:numPr>
              <w:spacing w:before="100" w:beforeAutospacing="1" w:after="100" w:afterAutospacing="1"/>
              <w:rPr>
                <w:rFonts w:ascii="Segoe UI" w:eastAsia="Times New Roman" w:hAnsi="Segoe UI" w:cs="Segoe UI"/>
                <w:sz w:val="20"/>
                <w:szCs w:val="20"/>
                <w:lang w:eastAsia="de-DE"/>
              </w:rPr>
            </w:pPr>
            <w:r w:rsidRPr="00695441">
              <w:rPr>
                <w:rFonts w:ascii="Segoe UI" w:eastAsia="Times New Roman" w:hAnsi="Segoe UI" w:cs="Segoe UI"/>
                <w:sz w:val="20"/>
                <w:szCs w:val="20"/>
                <w:lang w:eastAsia="de-DE"/>
              </w:rPr>
              <w:t>Sich bilden: Bildungseinrichtungen, wie Schulen, Universitäten, Museen.</w:t>
            </w:r>
          </w:p>
          <w:p w:rsidR="00343E8C" w:rsidRPr="00695441" w:rsidRDefault="00343E8C" w:rsidP="00343E8C">
            <w:pPr>
              <w:pStyle w:val="Listenabsatz"/>
              <w:numPr>
                <w:ilvl w:val="0"/>
                <w:numId w:val="1"/>
              </w:numPr>
              <w:ind w:left="714" w:hanging="357"/>
              <w:contextualSpacing w:val="0"/>
              <w:rPr>
                <w:rFonts w:ascii="Segoe UI" w:eastAsia="Times New Roman" w:hAnsi="Segoe UI" w:cs="Segoe UI"/>
                <w:sz w:val="20"/>
                <w:szCs w:val="20"/>
                <w:lang w:eastAsia="de-DE"/>
              </w:rPr>
            </w:pPr>
            <w:r w:rsidRPr="00695441">
              <w:rPr>
                <w:rFonts w:ascii="Segoe UI" w:eastAsia="Times New Roman" w:hAnsi="Segoe UI" w:cs="Segoe UI"/>
                <w:sz w:val="20"/>
                <w:szCs w:val="20"/>
                <w:lang w:eastAsia="de-DE"/>
              </w:rPr>
              <w:t>Am Verkehr teilnehmen: Bezieht sich auf die gesamte Verkehrsinfrastruktur einer Region, die zum Reisen genutzt wird (Straßen, Bahnhöfe, Flughafen, Radwege).</w:t>
            </w:r>
          </w:p>
          <w:p w:rsidR="0036199C" w:rsidRPr="008F4CB2" w:rsidRDefault="00343E8C" w:rsidP="00343E8C">
            <w:pPr>
              <w:spacing w:before="100" w:beforeAutospacing="1" w:after="100" w:afterAutospacing="1"/>
              <w:contextualSpacing/>
              <w:rPr>
                <w:rFonts w:eastAsia="Times New Roman" w:cs="Segoe UI"/>
                <w:szCs w:val="20"/>
                <w:lang w:eastAsia="de-DE"/>
              </w:rPr>
            </w:pPr>
            <w:r>
              <w:rPr>
                <w:rFonts w:eastAsia="Times New Roman" w:cs="Segoe UI"/>
                <w:szCs w:val="20"/>
                <w:lang w:eastAsia="de-DE"/>
              </w:rPr>
              <w:t>Damit einhergehend ist die funktionale Gliederung einer Stadt, da die jeweiligen Bedürfnisse teilweise nur in unterschiedlichen städtischen Räumen erfüllt werden können. So wird z. B. in einem Industriegebiet hauptsächlich gearbeitet, während in der City (Innenstadt) mehrere Daseinsgrundfunktionen erfüllt werden können.</w:t>
            </w:r>
          </w:p>
        </w:tc>
      </w:tr>
      <w:tr w:rsidR="0036199C" w:rsidTr="00D37310">
        <w:tc>
          <w:tcPr>
            <w:tcW w:w="2547" w:type="dxa"/>
            <w:shd w:val="clear" w:color="auto" w:fill="EAF1DD" w:themeFill="accent3" w:themeFillTint="33"/>
          </w:tcPr>
          <w:p w:rsidR="0036199C" w:rsidRPr="00571059" w:rsidRDefault="0036199C" w:rsidP="00D37310">
            <w:pPr>
              <w:rPr>
                <w:b/>
              </w:rPr>
            </w:pPr>
            <w:r>
              <w:rPr>
                <w:b/>
              </w:rPr>
              <w:t>Beschreibung der Lernressource</w:t>
            </w:r>
          </w:p>
        </w:tc>
        <w:tc>
          <w:tcPr>
            <w:tcW w:w="6515" w:type="dxa"/>
          </w:tcPr>
          <w:p w:rsidR="0036199C" w:rsidRDefault="00695441" w:rsidP="00D37310">
            <w:pPr>
              <w:rPr>
                <w:rFonts w:eastAsia="Times New Roman" w:cs="Segoe UI"/>
                <w:szCs w:val="20"/>
                <w:lang w:eastAsia="de-DE"/>
              </w:rPr>
            </w:pPr>
            <w:r>
              <w:rPr>
                <w:rFonts w:eastAsia="Times New Roman" w:cs="Segoe UI"/>
                <w:szCs w:val="20"/>
                <w:lang w:eastAsia="de-DE"/>
              </w:rPr>
              <w:t>Bei dem Material handelt sich in diesem Fall um eine Bildsammlung mit insgesamt sechs Fotografien, die als Ausgangspunkt für die Beschäftigung mit den Daseinsgrundfunktionen dienen können. Dabei steht für jede Funktion eine exemplarische Fotografie zur Verfügung, die nach Bedarf noch weiter ergänzt werden können.</w:t>
            </w:r>
          </w:p>
        </w:tc>
      </w:tr>
      <w:tr w:rsidR="0036199C" w:rsidTr="00D37310">
        <w:tc>
          <w:tcPr>
            <w:tcW w:w="2547" w:type="dxa"/>
            <w:shd w:val="clear" w:color="auto" w:fill="EAF1DD" w:themeFill="accent3" w:themeFillTint="33"/>
          </w:tcPr>
          <w:p w:rsidR="0036199C" w:rsidRPr="00571059" w:rsidRDefault="0036199C" w:rsidP="00D37310">
            <w:pPr>
              <w:rPr>
                <w:b/>
              </w:rPr>
            </w:pPr>
            <w:r w:rsidRPr="00571059">
              <w:rPr>
                <w:b/>
              </w:rPr>
              <w:t>Relevanz/Potenziale des Materials</w:t>
            </w:r>
            <w:r>
              <w:rPr>
                <w:b/>
              </w:rPr>
              <w:t xml:space="preserve"> und der Materialsammlung</w:t>
            </w:r>
          </w:p>
          <w:p w:rsidR="0036199C" w:rsidRDefault="0036199C" w:rsidP="00D37310"/>
          <w:p w:rsidR="0036199C" w:rsidRPr="00684CDD" w:rsidRDefault="0036199C" w:rsidP="00D37310">
            <w:pPr>
              <w:rPr>
                <w:i/>
              </w:rPr>
            </w:pPr>
            <w:r w:rsidRPr="00684CDD">
              <w:rPr>
                <w:i/>
              </w:rPr>
              <w:t>(</w:t>
            </w:r>
            <w:r>
              <w:rPr>
                <w:i/>
              </w:rPr>
              <w:t xml:space="preserve">z.B.: Welche Potenziale sehen Sie in dem Material für die Arbeit im Unterricht? Welchen Aspekt des Themenfeldes lassen sich mithilfe des Materials erarbeiten?) </w:t>
            </w:r>
          </w:p>
        </w:tc>
        <w:tc>
          <w:tcPr>
            <w:tcW w:w="6515" w:type="dxa"/>
          </w:tcPr>
          <w:p w:rsidR="0036199C" w:rsidRPr="006C552D" w:rsidRDefault="00343E8C" w:rsidP="00D37310">
            <w:pPr>
              <w:rPr>
                <w:rFonts w:eastAsia="Times New Roman" w:cs="Segoe UI"/>
                <w:szCs w:val="20"/>
                <w:lang w:eastAsia="de-DE"/>
              </w:rPr>
            </w:pPr>
            <w:r>
              <w:rPr>
                <w:rFonts w:eastAsia="Times New Roman" w:cs="Segoe UI"/>
                <w:szCs w:val="20"/>
                <w:lang w:eastAsia="de-DE"/>
              </w:rPr>
              <w:t xml:space="preserve">Da die Daseinsgrundfunktionen für Schüler:innen in der 5./6. Klasse recht abstrakte Begriffe sind, können diese mittels einer Anknüpfung an ihrer Lebenswelt deutlich gemacht werden. So können Schüler:innen anhand der Bilder aus ihrer Heimatstadt Bochum städtische Strukturen wiedererkennen und diese auf die fachliche Ebene anheben. Die Fotos können dabei zunächst den jeweiligen Daseinsgrundfunktionen zugeordnet und anschließend z. B. in einer Stadtkarte (Atlas) verortet werden. Da es sich hierbei um entdeckendes Lernen handelt, können die Bilder entweder ohne Titel bzw. genaue Ortsnennung den Schüler:innen gegeben werden, sodass sie innerhalb der Karte selbstständig überlegen müssen, wo in der Stadt welches </w:t>
            </w:r>
            <w:r>
              <w:rPr>
                <w:rFonts w:eastAsia="Times New Roman" w:cs="Segoe UI"/>
                <w:szCs w:val="20"/>
                <w:lang w:eastAsia="de-DE"/>
              </w:rPr>
              <w:lastRenderedPageBreak/>
              <w:t>Daseinsgrundfunktion erfüllt wird. Hinweise dazu würden wiederum die Legende der Stadtkarte (z. B. einer Schule) geben.</w:t>
            </w:r>
          </w:p>
        </w:tc>
      </w:tr>
      <w:tr w:rsidR="0036199C" w:rsidTr="00D37310">
        <w:tc>
          <w:tcPr>
            <w:tcW w:w="2547" w:type="dxa"/>
            <w:shd w:val="clear" w:color="auto" w:fill="EAF1DD" w:themeFill="accent3" w:themeFillTint="33"/>
          </w:tcPr>
          <w:p w:rsidR="0036199C" w:rsidRPr="00571059" w:rsidRDefault="0036199C" w:rsidP="00D37310">
            <w:pPr>
              <w:rPr>
                <w:b/>
              </w:rPr>
            </w:pPr>
            <w:r w:rsidRPr="00571059">
              <w:rPr>
                <w:b/>
              </w:rPr>
              <w:lastRenderedPageBreak/>
              <w:t>Kurzbeschreibung der gebenden Institution</w:t>
            </w:r>
          </w:p>
          <w:p w:rsidR="0036199C" w:rsidRDefault="0036199C" w:rsidP="00D37310"/>
          <w:p w:rsidR="0036199C" w:rsidRDefault="0036199C" w:rsidP="00D37310">
            <w:pPr>
              <w:rPr>
                <w:i/>
              </w:rPr>
            </w:pPr>
            <w:r w:rsidRPr="00571059">
              <w:rPr>
                <w:i/>
              </w:rPr>
              <w:t>(Beschreiben Sie hier in kurzen Sätzen die Institution (Museum, Archiv o.Ä., von der das Material stammt)</w:t>
            </w:r>
          </w:p>
          <w:p w:rsidR="0036199C" w:rsidRDefault="0036199C" w:rsidP="00D37310">
            <w:pPr>
              <w:rPr>
                <w:i/>
              </w:rPr>
            </w:pPr>
          </w:p>
          <w:p w:rsidR="0036199C" w:rsidRPr="00571059" w:rsidRDefault="0036199C" w:rsidP="00D37310">
            <w:pPr>
              <w:rPr>
                <w:i/>
              </w:rPr>
            </w:pPr>
            <w:r>
              <w:rPr>
                <w:i/>
              </w:rPr>
              <w:t>Max. 1000 Zeichen</w:t>
            </w:r>
          </w:p>
        </w:tc>
        <w:tc>
          <w:tcPr>
            <w:tcW w:w="6515" w:type="dxa"/>
          </w:tcPr>
          <w:p w:rsidR="0036199C" w:rsidRPr="00710935" w:rsidRDefault="00343E8C" w:rsidP="00D37310">
            <w:pPr>
              <w:rPr>
                <w:szCs w:val="20"/>
              </w:rPr>
            </w:pPr>
            <w:r>
              <w:rPr>
                <w:szCs w:val="20"/>
              </w:rPr>
              <w:t>Jörg Maack</w:t>
            </w:r>
          </w:p>
        </w:tc>
      </w:tr>
      <w:tr w:rsidR="0036199C" w:rsidTr="00D37310">
        <w:tc>
          <w:tcPr>
            <w:tcW w:w="2547" w:type="dxa"/>
            <w:shd w:val="clear" w:color="auto" w:fill="EAF1DD" w:themeFill="accent3" w:themeFillTint="33"/>
          </w:tcPr>
          <w:p w:rsidR="0036199C" w:rsidRPr="00571059" w:rsidRDefault="0036199C" w:rsidP="00D37310">
            <w:pPr>
              <w:rPr>
                <w:b/>
              </w:rPr>
            </w:pPr>
            <w:r w:rsidRPr="00571059">
              <w:rPr>
                <w:b/>
              </w:rPr>
              <w:t>Rechtefreigabe</w:t>
            </w:r>
          </w:p>
          <w:p w:rsidR="0036199C" w:rsidRDefault="0036199C" w:rsidP="00D37310"/>
          <w:p w:rsidR="0036199C" w:rsidRPr="00571059" w:rsidRDefault="0036199C" w:rsidP="00D37310">
            <w:pPr>
              <w:rPr>
                <w:i/>
              </w:rPr>
            </w:pPr>
            <w:r w:rsidRPr="00571059">
              <w:rPr>
                <w:i/>
              </w:rPr>
              <w:t>(Sind die Materialien frei verfügbar? Sind Besonderheiten/</w:t>
            </w:r>
            <w:r>
              <w:rPr>
                <w:i/>
              </w:rPr>
              <w:t xml:space="preserve"> </w:t>
            </w:r>
            <w:r w:rsidRPr="00571059">
              <w:rPr>
                <w:i/>
              </w:rPr>
              <w:t>Absprachen notwendig?)</w:t>
            </w:r>
          </w:p>
        </w:tc>
        <w:tc>
          <w:tcPr>
            <w:tcW w:w="6515" w:type="dxa"/>
          </w:tcPr>
          <w:p w:rsidR="0036199C" w:rsidRPr="00710935" w:rsidRDefault="00343E8C" w:rsidP="00D37310">
            <w:pPr>
              <w:rPr>
                <w:szCs w:val="20"/>
              </w:rPr>
            </w:pPr>
            <w:r>
              <w:rPr>
                <w:szCs w:val="20"/>
              </w:rPr>
              <w:t>Rechte durch Jörg Maack freigegeben</w:t>
            </w:r>
          </w:p>
        </w:tc>
      </w:tr>
      <w:tr w:rsidR="0036199C" w:rsidTr="00D37310">
        <w:trPr>
          <w:trHeight w:val="1837"/>
        </w:trPr>
        <w:tc>
          <w:tcPr>
            <w:tcW w:w="2547" w:type="dxa"/>
            <w:shd w:val="clear" w:color="auto" w:fill="EAF1DD" w:themeFill="accent3" w:themeFillTint="33"/>
          </w:tcPr>
          <w:p w:rsidR="0036199C" w:rsidRPr="00571059" w:rsidRDefault="0036199C" w:rsidP="00D37310">
            <w:pPr>
              <w:rPr>
                <w:b/>
              </w:rPr>
            </w:pPr>
            <w:r w:rsidRPr="00571059">
              <w:rPr>
                <w:b/>
              </w:rPr>
              <w:t>Ggf. Ansprechpartner vor Ort</w:t>
            </w:r>
          </w:p>
          <w:p w:rsidR="0036199C" w:rsidRDefault="0036199C" w:rsidP="00D37310"/>
          <w:p w:rsidR="0036199C" w:rsidRDefault="0036199C" w:rsidP="00D37310">
            <w:pPr>
              <w:rPr>
                <w:i/>
              </w:rPr>
            </w:pPr>
            <w:r w:rsidRPr="00571059">
              <w:rPr>
                <w:i/>
              </w:rPr>
              <w:t xml:space="preserve">(insb. </w:t>
            </w:r>
            <w:r>
              <w:rPr>
                <w:i/>
              </w:rPr>
              <w:t>f</w:t>
            </w:r>
            <w:r w:rsidRPr="00571059">
              <w:rPr>
                <w:i/>
              </w:rPr>
              <w:t>ür die Klärung von Publikationsrechten etc.</w:t>
            </w:r>
          </w:p>
          <w:p w:rsidR="0036199C" w:rsidRPr="00571059" w:rsidRDefault="0036199C" w:rsidP="00D37310">
            <w:pPr>
              <w:rPr>
                <w:i/>
              </w:rPr>
            </w:pPr>
            <w:r>
              <w:rPr>
                <w:i/>
              </w:rPr>
              <w:t>Bitte auch Kontaktdaten mitangeben.</w:t>
            </w:r>
            <w:r w:rsidRPr="00571059">
              <w:rPr>
                <w:i/>
              </w:rPr>
              <w:t>)</w:t>
            </w:r>
          </w:p>
        </w:tc>
        <w:tc>
          <w:tcPr>
            <w:tcW w:w="6515" w:type="dxa"/>
          </w:tcPr>
          <w:p w:rsidR="0036199C" w:rsidRPr="00710935" w:rsidRDefault="0036199C" w:rsidP="00D37310">
            <w:pPr>
              <w:rPr>
                <w:szCs w:val="20"/>
              </w:rPr>
            </w:pPr>
          </w:p>
        </w:tc>
      </w:tr>
      <w:tr w:rsidR="0036199C" w:rsidTr="00D37310">
        <w:tc>
          <w:tcPr>
            <w:tcW w:w="2547" w:type="dxa"/>
            <w:shd w:val="clear" w:color="auto" w:fill="EAF1DD" w:themeFill="accent3" w:themeFillTint="33"/>
          </w:tcPr>
          <w:p w:rsidR="0036199C" w:rsidRPr="00571059" w:rsidRDefault="0036199C" w:rsidP="00D37310">
            <w:pPr>
              <w:rPr>
                <w:b/>
              </w:rPr>
            </w:pPr>
            <w:r w:rsidRPr="00571059">
              <w:rPr>
                <w:b/>
              </w:rPr>
              <w:t>Sonstige Bemerkungen</w:t>
            </w:r>
          </w:p>
        </w:tc>
        <w:tc>
          <w:tcPr>
            <w:tcW w:w="6515" w:type="dxa"/>
          </w:tcPr>
          <w:p w:rsidR="0036199C" w:rsidRPr="00710935" w:rsidRDefault="0036199C" w:rsidP="00D37310">
            <w:pPr>
              <w:rPr>
                <w:szCs w:val="20"/>
              </w:rPr>
            </w:pPr>
            <w:bookmarkStart w:id="1" w:name="_GoBack"/>
            <w:bookmarkEnd w:id="1"/>
          </w:p>
        </w:tc>
      </w:tr>
    </w:tbl>
    <w:p w:rsidR="0036199C" w:rsidRDefault="0036199C"/>
    <w:sectPr w:rsidR="0036199C" w:rsidSect="00F954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26B13"/>
    <w:multiLevelType w:val="hybridMultilevel"/>
    <w:tmpl w:val="FDBC9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9C"/>
    <w:rsid w:val="00046935"/>
    <w:rsid w:val="0005785A"/>
    <w:rsid w:val="00343E8C"/>
    <w:rsid w:val="0036199C"/>
    <w:rsid w:val="00402BC8"/>
    <w:rsid w:val="00695441"/>
    <w:rsid w:val="007C5D6B"/>
    <w:rsid w:val="00970227"/>
    <w:rsid w:val="00B51612"/>
    <w:rsid w:val="00F9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0A42"/>
  <w15:chartTrackingRefBased/>
  <w15:docId w15:val="{248FFBF2-1DC7-4A6A-872C-91813AFF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199C"/>
    <w:rPr>
      <w:rFonts w:ascii="Segoe UI" w:hAnsi="Segoe UI"/>
      <w:sz w:val="20"/>
    </w:rPr>
  </w:style>
  <w:style w:type="paragraph" w:styleId="berschrift1">
    <w:name w:val="heading 1"/>
    <w:basedOn w:val="Standard"/>
    <w:next w:val="Standard"/>
    <w:link w:val="berschrift1Zchn"/>
    <w:uiPriority w:val="9"/>
    <w:qFormat/>
    <w:rsid w:val="00970227"/>
    <w:pPr>
      <w:keepNext/>
      <w:keepLines/>
      <w:outlineLvl w:val="0"/>
    </w:pPr>
    <w:rPr>
      <w:rFonts w:eastAsiaTheme="majorEastAsia" w:cstheme="majorBidi"/>
      <w:b/>
      <w:color w:val="FFFFFF" w:themeColor="background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0227"/>
    <w:rPr>
      <w:rFonts w:ascii="Segoe UI" w:eastAsiaTheme="majorEastAsia" w:hAnsi="Segoe UI" w:cstheme="majorBidi"/>
      <w:b/>
      <w:color w:val="FFFFFF" w:themeColor="background1"/>
      <w:szCs w:val="32"/>
    </w:rPr>
  </w:style>
  <w:style w:type="table" w:styleId="Tabellenraster">
    <w:name w:val="Table Grid"/>
    <w:basedOn w:val="NormaleTabelle"/>
    <w:uiPriority w:val="59"/>
    <w:rsid w:val="0036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43E8C"/>
    <w:pPr>
      <w:ind w:left="720"/>
      <w:contextualSpacing/>
    </w:pPr>
    <w:rPr>
      <w:rFonts w:asciiTheme="minorHAnsi" w:hAnsiTheme="minorHAnsi"/>
      <w:sz w:val="24"/>
      <w:szCs w:val="24"/>
    </w:rPr>
  </w:style>
  <w:style w:type="paragraph" w:styleId="Inhaltsverzeichnisberschrift">
    <w:name w:val="TOC Heading"/>
    <w:basedOn w:val="berschrift1"/>
    <w:next w:val="Standard"/>
    <w:uiPriority w:val="39"/>
    <w:unhideWhenUsed/>
    <w:qFormat/>
    <w:rsid w:val="00343E8C"/>
    <w:pPr>
      <w:spacing w:before="240" w:line="259" w:lineRule="auto"/>
      <w:outlineLvl w:val="9"/>
    </w:pPr>
    <w:rPr>
      <w:rFonts w:asciiTheme="majorHAnsi" w:hAnsiTheme="majorHAnsi"/>
      <w:b w:val="0"/>
      <w:color w:val="365F91" w:themeColor="accent1" w:themeShade="BF"/>
      <w:sz w:val="32"/>
      <w:lang w:eastAsia="de-DE"/>
    </w:rPr>
  </w:style>
  <w:style w:type="paragraph" w:styleId="Verzeichnis1">
    <w:name w:val="toc 1"/>
    <w:basedOn w:val="Standard"/>
    <w:next w:val="Standard"/>
    <w:autoRedefine/>
    <w:uiPriority w:val="39"/>
    <w:unhideWhenUsed/>
    <w:rsid w:val="00343E8C"/>
    <w:pPr>
      <w:spacing w:after="100"/>
    </w:pPr>
  </w:style>
  <w:style w:type="character" w:styleId="Hyperlink">
    <w:name w:val="Hyperlink"/>
    <w:basedOn w:val="Absatz-Standardschriftart"/>
    <w:uiPriority w:val="99"/>
    <w:unhideWhenUsed/>
    <w:rsid w:val="00343E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799A-1937-4B96-A7A2-425C54D7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p3810025</dc:creator>
  <cp:keywords/>
  <dc:description/>
  <cp:lastModifiedBy>p3810025</cp:lastModifiedBy>
  <cp:revision>4</cp:revision>
  <dcterms:created xsi:type="dcterms:W3CDTF">2024-11-18T09:06:00Z</dcterms:created>
  <dcterms:modified xsi:type="dcterms:W3CDTF">2025-01-21T10:03:00Z</dcterms:modified>
</cp:coreProperties>
</file>